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bidi w:val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529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</w:rPr>
        <w:t>В Курской области до 25 января введен запрет на использование гражданами и организациями пиротехнических изделий. Исключение составляют хлопушки, бенгальские огни, бенгальские свечи и фонтаны холодного огня.</w:t>
      </w:r>
    </w:p>
    <w:p>
      <w:pPr>
        <w:pStyle w:val="Style32"/>
        <w:widowControl/>
        <w:bidi w:val="0"/>
        <w:spacing w:lineRule="auto" w:line="42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</w:rPr>
        <w:t>Соответствующее постановление было подписано в правительстве Курской области.</w:t>
      </w:r>
    </w:p>
    <w:p>
      <w:pPr>
        <w:pStyle w:val="Style32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529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529"/>
          <w:spacing w:val="0"/>
        </w:rPr>
        <w:t>За нарушение установленных требований предусмотрена административная ответственность в виде штрафов.</w:t>
      </w:r>
    </w:p>
    <w:p>
      <w:pPr>
        <w:pStyle w:val="Style32"/>
        <w:bidi w:val="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43218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</w:r>
    </w:p>
    <w:sectPr>
      <w:headerReference w:type="default" r:id="rId3"/>
      <w:footerReference w:type="default" r:id="rId4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PT Astra Serif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45</Words>
  <Characters>344</Characters>
  <CharactersWithSpaces>387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2024-12-23T10:06:39Z</dcterms:created>
  <dc:creator/>
  <dc:description/>
  <dc:language>ru-RU</dc:language>
  <cp:lastModifiedBy/>
  <dcterms:modified xsi:type="dcterms:W3CDTF">2024-12-23T10:11:46Z</dcterms:modified>
  <cp:revision>3</cp:revision>
  <dc:subject/>
  <dc:title>Default</dc:title>
</cp:coreProperties>
</file>